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4"/>
          <w:szCs w:val="24"/>
          <w:u w:val="none"/>
          <w:shd w:fill="auto" w:val="clear"/>
          <w:vertAlign w:val="baseline"/>
          <w:rtl w:val="0"/>
        </w:rPr>
        <w:t xml:space="preserve">FORMULARUL 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r>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ROSAC0203ZPB</w:t>
      </w:r>
      <w:r>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1"/>
          <w:iCs w:val="1"/>
          <w:smallCaps w:val="0"/>
          <w:strike w:val="0"/>
          <w:color w:val="808080"/>
          <w:sz w:val="20"/>
          <w:szCs w:val="20"/>
          <w:u w:val="none"/>
          <w:shd w:fill="auto" w:val="clear"/>
          <w:vertAlign w:val="baseline"/>
        </w:rPr>
      </w:pPr>
      <w:r>
        <w:rPr>
          <w:rFonts w:ascii="Arial" w:cs="Arial" w:eastAsia="Arial" w:hAnsi="Arial"/>
          <w:b w:val="0"/>
          <w:bCs w:val="0"/>
          <w:i w:val="1"/>
          <w:iCs w:val="1"/>
          <w:smallCaps w:val="0"/>
          <w:strike w:val="0"/>
          <w:color w:val="808080"/>
          <w:sz w:val="20"/>
          <w:szCs w:val="20"/>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Poiana cu narcise de la Negrași</w:t>
      </w:r>
      <w:r>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 </w:t>
      </w:r>
      <w:r>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r>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OECM (Other effective area-based conservation measures)</w:t>
      </w:r>
      <w:r>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r>
        <w:rPr>
          <w:rtl w:val="0"/>
        </w:rPr>
      </w:r>
    </w:p>
    <w:tbl>
      <w:tblPr>
        <w:tblStyle w:val="Table1"/>
        <w:tblW w:w="8980.0" w:type="dxa"/>
        <w:jc w:val="left"/>
        <w:tblInd w:w="-98.0" w:type="dxa"/>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r>
              <w:rPr>
                <w:rtl w:val="0"/>
              </w:rPr>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r>
              <w:rPr>
                <w:rtl w:val="0"/>
              </w:rPr>
            </w:r>
          </w:p>
        </w:tc>
      </w:tr>
      <w:tr>
        <w:trPr>
          <w:cantSplit w:val="0"/>
          <w:tblHeader w:val="0"/>
        </w:trPr>
        <w:tc>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w:t>
      </w:r>
      <w:r>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r>
        <w:rPr>
          <w:rtl w:val="0"/>
        </w:rPr>
      </w:r>
    </w:p>
    <w:tbl>
      <w:tblPr>
        <w:tblStyle w:val="Table4"/>
        <w:tblW w:w="8980.0" w:type="dxa"/>
        <w:jc w:val="left"/>
        <w:tblInd w:w="-98.0" w:type="dxa"/>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r>
              <w:rPr>
                <w:rtl w:val="0"/>
              </w:rPr>
            </w:r>
          </w:p>
        </w:tc>
        <w:tc>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r>
                    <w:rPr>
                      <w:rtl w:val="0"/>
                    </w:rPr>
                  </w:r>
                </w:p>
              </w:tc>
            </w:tr>
          </w:tbl>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r>
    </w:tbl>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r>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r>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b w:val="1"/>
          <w:bCs w:val="1"/>
          <w:sz w:val="22"/>
          <w:szCs w:val="22"/>
          <w:rtl w:val="0"/>
        </w:rPr>
        <w:t xml:space="preserve">2.1.</w:t>
      </w:r>
      <w:r>
        <w:rPr>
          <w:rFonts w:ascii="Arial" w:cs="Arial" w:eastAsia="Arial" w:hAnsi="Arial"/>
          <w:b w:val="1"/>
          <w:bCs w:val="1"/>
          <w:i w:val="0"/>
          <w:iCs w:val="0"/>
          <w:smallCaps w:val="0"/>
          <w:strike w:val="0"/>
          <w:color w:val="000000"/>
          <w:sz w:val="22"/>
          <w:szCs w:val="22"/>
          <w:u w:val="none"/>
          <w:shd w:fill="auto" w:val="clear"/>
          <w:vertAlign w:val="baseline"/>
          <w:rtl w:val="0"/>
        </w:rPr>
        <w:t xml:space="preserve"> Suprafața totală a ZPB (ha)</w:t>
      </w:r>
      <w:r>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4,65</w:t>
      </w:r>
      <w:r>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r>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100,00%</w:t>
      </w:r>
      <w:r>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r>
        <w:rPr>
          <w:rtl w:val="0"/>
        </w:rPr>
      </w:r>
    </w:p>
    <w:tbl>
      <w:tblPr>
        <w:tblStyle w:val="Table6"/>
        <w:tblW w:w="8980.0" w:type="dxa"/>
        <w:jc w:val="left"/>
        <w:tblInd w:w="-98.0" w:type="dxa"/>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r>
              <w:rPr>
                <w:rtl w:val="0"/>
              </w:rPr>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RO31</w:t>
            </w:r>
            <w:r>
              <w:rPr>
                <w:rtl w:val="0"/>
              </w:rPr>
            </w:r>
          </w:p>
        </w:tc>
        <w:tc>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Sud-Muntenia</w:t>
            </w:r>
            <w:r>
              <w:rPr>
                <w:rtl w:val="0"/>
              </w:rPr>
            </w:r>
          </w:p>
        </w:tc>
      </w:tr>
    </w:tbl>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r>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Argeș</w:t>
      </w:r>
      <w:r>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 </w:t>
      </w:r>
      <w:r>
        <w:rPr>
          <w:rtl w:val="0"/>
        </w:rPr>
      </w:r>
    </w:p>
    <w:tbl>
      <w:tblPr>
        <w:tblStyle w:val="Table7"/>
        <w:tblW w:w="8980.000000000002" w:type="dxa"/>
        <w:jc w:val="left"/>
        <w:tblInd w:w="-98.0" w:type="dxa"/>
        <w:tblLayout w:type="fixed"/>
        <w:tblLook w:val="0400"/>
      </w:tblPr>
      <w:tblGrid>
        <w:gridCol w:w="2805"/>
        <w:gridCol w:w="236"/>
        <w:gridCol w:w="2873"/>
        <w:gridCol w:w="236"/>
        <w:gridCol w:w="2830"/>
        <w:tblGridChange w:id="0">
          <w:tblGrid>
            <w:gridCol w:w="2805"/>
            <w:gridCol w:w="236"/>
            <w:gridCol w:w="2873"/>
            <w:gridCol w:w="236"/>
            <w:gridCol w:w="2830"/>
          </w:tblGrid>
        </w:tblGridChange>
      </w:tblGrid>
      <w:tr>
        <w:trPr>
          <w:cantSplit w:val="0"/>
          <w:tblHeader w:val="0"/>
        </w:trPr>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w:t>
            </w: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100%</w:t>
            </w:r>
            <w:r>
              <w:rPr>
                <w:rtl w:val="0"/>
              </w:rPr>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r>
              <w:rPr>
                <w:rtl w:val="0"/>
              </w:rPr>
            </w:r>
          </w:p>
        </w:tc>
      </w:tr>
      <w:tr>
        <w:trPr>
          <w:cantSplit w:val="0"/>
          <w:tblHeader w:val="0"/>
        </w:trPr>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r>
              <w:rPr>
                <w:rtl w:val="0"/>
              </w:rPr>
            </w:r>
          </w:p>
        </w:tc>
        <w:tc>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tc>
        <w:tc>
          <w:tcPr/>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mo" w:cs="Arimo" w:eastAsia="Arimo" w:hAnsi="Arimo"/>
                <w:b w:val="0"/>
                <w:bCs w:val="0"/>
                <w:i w:val="0"/>
                <w:iCs w:val="0"/>
                <w:smallCaps w:val="0"/>
                <w:strike w:val="0"/>
                <w:color w:val="000000"/>
                <w:sz w:val="22"/>
                <w:szCs w:val="22"/>
                <w:u w:val="none"/>
                <w:shd w:fill="auto" w:val="clear"/>
                <w:vertAlign w:val="baseline"/>
                <w:rtl w:val="0"/>
              </w:rPr>
              <w:t xml:space="preserv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r>
              <w:rPr>
                <w:rtl w:val="0"/>
              </w:rPr>
            </w:r>
          </w:p>
        </w:tc>
      </w:tr>
    </w:tbl>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pe teritoriul ariei naturale protejate</w:t>
      </w:r>
      <w:r>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r>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r>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r>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r>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r>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r>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4,65</w:t>
      </w:r>
      <w:r>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r>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 Rezervația naturală RONPA0120 Poiana cu Narcise de la Negraşi </w:t>
        <w:br w:type="textWrapping"/>
        <w:t xml:space="preserve">- Ordinul Ministrului Mediului şi Schimbărilor Climatice nr. 1313/2014 privind aprobarea Planului de management şi a Regulamentului sitului Natura 2000, ROSCI0203 - Poiana cu Narcise de la Negraşi</w:t>
      </w:r>
    </w:p>
    <w:p w:rsidR="00000000" w:rsidDel="00000000" w:rsidP="00000000" w:rsidRDefault="00000000" w:rsidRPr="00000000" w14:paraId="0000006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sz w:val="22"/>
          <w:szCs w:val="22"/>
        </w:rPr>
      </w:pPr>
      <w:r>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r>
        <w:rPr>
          <w:rtl w:val="0"/>
        </w:rPr>
      </w:r>
    </w:p>
    <w:tbl>
      <w:tblPr>
        <w:tblStyle w:val="Table8"/>
        <w:tblW w:w="8964.0" w:type="dxa"/>
        <w:jc w:val="left"/>
        <w:tblInd w:w="-97.00000000000001"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pajiști umede seminaturale cu ierburi înalte:</w:t>
            </w:r>
            <w:r>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6440 Pajişti aluviale ale văilor râurilor din Cnidion dubii</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1"/>
                <w:iCs w:val="1"/>
                <w:smallCaps w:val="0"/>
                <w:strike w:val="0"/>
                <w:color w:val="000000"/>
                <w:sz w:val="22"/>
                <w:szCs w:val="22"/>
                <w:u w:val="none"/>
                <w:shd w:fill="auto" w:val="clear"/>
                <w:vertAlign w:val="baseline"/>
                <w:rtl w:val="0"/>
              </w:rPr>
              <w:t xml:space="preserve">Habitate de pajiști mezofile:</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6510 Fâneţe de joasă altitudine (Alopecurus pratensis, Sanguisorba officinalis) </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 și reptile:</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6997</w:t>
            </w:r>
            <w:r>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Bufotes viridis</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1261 Lacerta agilis</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2469 Natrix natrix</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bookmarkStart w:colFirst="0" w:colLast="0" w:name="_heading=h.brt7oiya1rs4" w:id="0"/>
            <w:bookmarkEnd w:id="0"/>
            <w:r>
              <w:rPr>
                <w:rFonts w:ascii="Arial" w:cs="Arial" w:eastAsia="Arial" w:hAnsi="Arial"/>
                <w:b w:val="1"/>
                <w:bCs w:val="1"/>
                <w:i w:val="0"/>
                <w:iCs w:val="0"/>
                <w:smallCaps w:val="0"/>
                <w:strike w:val="0"/>
                <w:color w:val="000000"/>
                <w:sz w:val="20"/>
                <w:szCs w:val="20"/>
                <w:u w:val="none"/>
                <w:shd w:fill="auto" w:val="clear"/>
                <w:vertAlign w:val="baseline"/>
                <w:rtl w:val="0"/>
              </w:rPr>
              <w:t xml:space="preserve">Plante:</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Narcisus poeticus ssp. Radiiflorus</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0"/>
                <w:szCs w:val="20"/>
                <w:u w:val="none"/>
                <w:shd w:fill="auto" w:val="clear"/>
                <w:vertAlign w:val="baseline"/>
                <w:rtl w:val="0"/>
              </w:rPr>
              <w:t xml:space="preserve">Chiroptere:</w:t>
            </w:r>
            <w:r>
              <w:rPr>
                <w:rFonts w:ascii="Arial" w:cs="Arial" w:eastAsia="Arial" w:hAnsi="Arial"/>
                <w:b w:val="0"/>
                <w:bCs w:val="0"/>
                <w:i w:val="1"/>
                <w:iCs w:val="1"/>
                <w:smallCaps w:val="0"/>
                <w:strike w:val="0"/>
                <w:color w:val="000000"/>
                <w:sz w:val="20"/>
                <w:szCs w:val="20"/>
                <w:u w:val="none"/>
                <w:shd w:fill="auto" w:val="clear"/>
                <w:vertAlign w:val="baseline"/>
                <w:rtl w:val="0"/>
              </w:rPr>
              <w:br w:type="textWrapping"/>
            </w:r>
            <w:r>
              <w:rPr>
                <w:rFonts w:ascii="Arial" w:cs="Arial" w:eastAsia="Arial" w:hAnsi="Arial"/>
                <w:b w:val="0"/>
                <w:bCs w:val="0"/>
                <w:i w:val="1"/>
                <w:iCs w:val="1"/>
                <w:smallCaps w:val="0"/>
                <w:strike w:val="0"/>
                <w:color w:val="000000"/>
                <w:sz w:val="22"/>
                <w:szCs w:val="22"/>
                <w:u w:val="none"/>
                <w:shd w:fill="auto" w:val="clear"/>
                <w:vertAlign w:val="baseline"/>
                <w:rtl w:val="0"/>
              </w:rPr>
              <w:t xml:space="preserve">1312 Nyctalus noctula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jc w:val="both"/>
              <w:rPr/>
            </w:pPr>
            <w:r>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Pr>
                <w:rtl w:val="0"/>
              </w:rPr>
            </w:r>
          </w:p>
          <w:p w:rsidR="00000000" w:rsidDel="00000000" w:rsidP="00000000" w:rsidRDefault="00000000" w:rsidRPr="00000000" w14:paraId="0000007B">
            <w:pPr>
              <w:jc w:val="both"/>
              <w:rPr/>
            </w:pPr>
            <w:r>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Pr>
                <w:rtl w:val="0"/>
              </w:rPr>
            </w:r>
          </w:p>
          <w:p w:rsidR="00000000" w:rsidDel="00000000" w:rsidP="00000000" w:rsidRDefault="00000000" w:rsidRPr="00000000" w14:paraId="0000007C">
            <w:pPr>
              <w:jc w:val="both"/>
              <w:rPr/>
            </w:pPr>
            <w:r>
              <w:rPr>
                <w:sz w:val="22"/>
                <w:szCs w:val="22"/>
                <w:rtl w:val="0"/>
              </w:rPr>
              <w:t xml:space="preserve">Zona include ecosisteme lotice și habitate ripariene care asigură conectivitatea ecologică la scară regională și susțin procese hidrologice naturale esențiale pentru funcționarea ecosistemelor de luncă și a zonelor umede asociate.</w:t>
            </w:r>
            <w:r>
              <w:rPr>
                <w:rtl w:val="0"/>
              </w:rPr>
            </w:r>
          </w:p>
          <w:p w:rsidR="00000000" w:rsidDel="00000000" w:rsidP="00000000" w:rsidRDefault="00000000" w:rsidRPr="00000000" w14:paraId="0000007D">
            <w:pPr>
              <w:jc w:val="both"/>
              <w:rPr/>
            </w:pPr>
            <w:r>
              <w:rPr>
                <w:sz w:val="22"/>
                <w:szCs w:val="22"/>
                <w:rtl w:val="0"/>
              </w:rPr>
              <w:t xml:space="preserve">Desemnarea ca ZPB se fundamentează pe criteriul stabilit de metodologie pentru rezervații naturale.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A04.01.05 păşunatul intensiv în amestec de animale</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0"/>
                <w:bCs w:val="0"/>
                <w:i w:val="0"/>
                <w:iCs w:val="0"/>
                <w:smallCaps w:val="0"/>
                <w:strike w:val="0"/>
                <w:color w:val="000000"/>
                <w:sz w:val="22"/>
                <w:szCs w:val="22"/>
                <w:u w:val="none"/>
                <w:shd w:fill="auto" w:val="clear"/>
                <w:vertAlign w:val="baseline"/>
                <w:rtl w:val="0"/>
              </w:rPr>
              <w:t xml:space="preserve">F04.01 prădarea staţiunilor floristice (rezervaţiile floristice)</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0"/>
                <w:bCs w:val="0"/>
                <w:i w:val="0"/>
                <w:iCs w:val="0"/>
                <w:smallCaps w:val="0"/>
                <w:strike w:val="0"/>
                <w:color w:val="000000"/>
                <w:sz w:val="22"/>
                <w:szCs w:val="22"/>
                <w:u w:val="none"/>
                <w:shd w:fill="auto" w:val="clear"/>
                <w:vertAlign w:val="baseline"/>
                <w:rtl w:val="0"/>
              </w:rPr>
              <w:t xml:space="preserve">I01 Specii invazive non-native (alogene)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Regim:</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Management activ.</w:t>
            </w:r>
            <w:r>
              <w:rPr>
                <w:rtl w:val="0"/>
              </w:rPr>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Fonts w:ascii="Arial" w:cs="Arial" w:eastAsia="Arial" w:hAnsi="Arial"/>
                <w:b w:val="0"/>
                <w:bCs w:val="0"/>
                <w:i w:val="0"/>
                <w:iCs w:val="0"/>
                <w:smallCaps w:val="0"/>
                <w:strike w:val="0"/>
                <w:color w:val="000000"/>
                <w:sz w:val="22"/>
                <w:szCs w:val="22"/>
                <w:u w:val="none"/>
                <w:shd w:fill="auto" w:val="clear"/>
                <w:vertAlign w:val="baseline"/>
                <w:rtl w:val="0"/>
              </w:rPr>
              <w:t xml:space="preserve"> Conservarea biodiversității habitatelor desemnate ca ZPB din situl Poiana cu narcise de la Negrași prin aplicarea unor măsuri de management activ minimale și țintite, fără urmărirea unor obiective economice.</w:t>
            </w:r>
            <w:r>
              <w:rPr>
                <w:rtl w:val="0"/>
              </w:rPr>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de management activ pentru ecosistemele de pajiști din ZPB (habitatele </w:t>
            </w:r>
            <w:r>
              <w:rPr>
                <w:rFonts w:ascii="Arial" w:cs="Arial" w:eastAsia="Arial" w:hAnsi="Arial"/>
                <w:b w:val="1"/>
                <w:bCs w:val="1"/>
                <w:i w:val="1"/>
                <w:iCs w:val="1"/>
                <w:smallCaps w:val="0"/>
                <w:strike w:val="0"/>
                <w:color w:val="000000"/>
                <w:sz w:val="22"/>
                <w:szCs w:val="22"/>
                <w:u w:val="none"/>
                <w:shd w:fill="auto" w:val="clear"/>
                <w:vertAlign w:val="baseline"/>
                <w:rtl w:val="0"/>
              </w:rPr>
              <w:t xml:space="preserve">6440</w:t>
            </w:r>
            <w:r>
              <w:rPr>
                <w:rFonts w:ascii="Arial" w:cs="Arial" w:eastAsia="Arial" w:hAnsi="Arial"/>
                <w:b w:val="1"/>
                <w:bCs w:val="1"/>
                <w:i w:val="0"/>
                <w:iCs w:val="0"/>
                <w:smallCaps w:val="0"/>
                <w:strike w:val="0"/>
                <w:color w:val="000000"/>
                <w:sz w:val="22"/>
                <w:szCs w:val="22"/>
                <w:u w:val="none"/>
                <w:shd w:fill="auto" w:val="clear"/>
                <w:vertAlign w:val="baseline"/>
                <w:rtl w:val="0"/>
              </w:rPr>
              <w:t xml:space="preserve">, </w:t>
            </w:r>
            <w:r>
              <w:rPr>
                <w:rFonts w:ascii="Arial" w:cs="Arial" w:eastAsia="Arial" w:hAnsi="Arial"/>
                <w:b w:val="1"/>
                <w:bCs w:val="1"/>
                <w:i w:val="1"/>
                <w:iCs w:val="1"/>
                <w:smallCaps w:val="0"/>
                <w:strike w:val="0"/>
                <w:color w:val="000000"/>
                <w:sz w:val="22"/>
                <w:szCs w:val="22"/>
                <w:u w:val="none"/>
                <w:shd w:fill="auto" w:val="clear"/>
                <w:vertAlign w:val="baseline"/>
                <w:rtl w:val="0"/>
              </w:rPr>
              <w:t xml:space="preserve">6510</w:t>
            </w:r>
            <w:r>
              <w:rPr>
                <w:rFonts w:ascii="Arial" w:cs="Arial" w:eastAsia="Arial" w:hAnsi="Arial"/>
                <w:b w:val="1"/>
                <w:bCs w:val="1"/>
                <w:i w:val="0"/>
                <w:iCs w:val="0"/>
                <w:smallCaps w:val="0"/>
                <w:strike w:val="0"/>
                <w:color w:val="000000"/>
                <w:sz w:val="22"/>
                <w:szCs w:val="22"/>
                <w:u w:val="none"/>
                <w:shd w:fill="auto" w:val="clear"/>
                <w:vertAlign w:val="baseline"/>
                <w:rtl w:val="0"/>
              </w:rPr>
              <w:t xml:space="preserve">)</w:t>
            </w:r>
            <w:r>
              <w:rPr>
                <w:rtl w:val="0"/>
              </w:rPr>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O1.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suprafețelor de pajiști și prevenirea abandonului sau conversiei către alte categorii de folosință.</w:t>
            </w:r>
            <w:r>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O2.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unei structuri mozaicate favorabile biodiversității.</w:t>
            </w:r>
            <w:r>
              <w:rPr>
                <w:rtl w:val="0"/>
              </w:rPr>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O3.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Evitarea degradării habitatelor prin suprapășunat, subpășunat, compactarea solului și eroziune.</w:t>
            </w:r>
            <w:r>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O4.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Limitarea utilizării substanțelor chimice și prevenirea eutrofizării habitatelor.</w:t>
            </w:r>
            <w:r>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O5.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Controlul speciilor invazive și limitarea instalării vegetației lemnoase.</w:t>
            </w:r>
            <w:r>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O6.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Monitorizarea utilizării habitatelor și adaptarea managementului în funcție de rezultate.</w:t>
            </w:r>
            <w:r>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Fiecare suprafață de pajiște trebuie să beneficieze anual de cel puțin o activitate minimă de management extensiv (cosit, pășunat sau sistem mixt), necesară pentru menținerea habitatului deschis și evitarea instalării vegetației lemnoase.</w:t>
            </w:r>
            <w:r>
              <w:rPr>
                <w:rtl w:val="0"/>
              </w:rPr>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Cositul se realizează astfel încât speciile de interes conservativ să poată forma semințe înaintea intervenției, evitându-se cosirea „în ras” și menținându-se o înălțime de recoltare compatibilă cu regenerarea covorului vegetal.</w:t>
            </w:r>
            <w:r>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În zonele montane și premontane, prima cosire se realizează numai după formarea semințelor la speciile de interes conservativ.</w:t>
            </w:r>
            <w:r>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Cosirea se realizează astfel încât să permită retragerea faunei, menținându-se anual suprafețe-refugiu necosite temporar.</w:t>
            </w:r>
            <w:r>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În zonele sensibile lucrările de cosit se realizează cu metode prin care se evită compactarea solului și degradarea microreliefului.</w:t>
            </w:r>
            <w:r>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6.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Pășunatul se realizează exclusiv în regim controlat și extensiv, cu adaptarea încărcăturii animale și a perioadelor de utilizare la capacitatea de suport a habitatului și la obiectivele de conservare.</w:t>
            </w:r>
            <w:r>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7.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Începerea pășunatului se realizează numai după instalarea creșterii active a vegetației și după retragerea excesului de umiditate din sol, pentru evitarea degradării covorului vegetal și a compactării solului.</w:t>
            </w:r>
            <w:r>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8.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Pășunatul se întrerupe astfel încât vegetația să dispună de timp suficient pentru refacerea masei vegetative și acumularea rezervelor înaintea sezonului rece.</w:t>
            </w:r>
            <w:r>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9.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Utilizarea fertilizanților chimici și a pesticidelor se realizează în conformitate cu legislația națională în domeniu. Aratul și supraînsămânțarea cu specii alohtone sunt interzise.</w:t>
            </w:r>
            <w:r>
              <w:rPr>
                <w:rtl w:val="0"/>
              </w:rPr>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10.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Este recomandată fertilizarea organică tradițională, în cantități moderate și compatibile cu menținerea diversității floristice și a structurii habitatului.</w:t>
            </w:r>
            <w:r>
              <w:rPr>
                <w:rtl w:val="0"/>
              </w:rPr>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Târlitul se realizează controlat și cu schimbarea periodică a amplasamentelor, evitându-se apariția suprafețelor nitrofile și degradarea habitatului.</w:t>
            </w:r>
            <w:r>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Vegetația lemnoasă invadantă se îndepărtează selectiv și periodic, menținându-se elementele cu rol ecologic, antierozional sau de refugiu pentru specii.</w:t>
            </w:r>
            <w:r>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Speciile invazive se monitorizează și se controlează prin metode mecanice și măsuri cu impact redus asupra habitatelor naturale.</w:t>
            </w:r>
            <w:r>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În zonele afectate de degradări locale ale microreliefului se pot aplica măsuri cu impact redus pentru corectarea acestora și refacerea covorului vegetal cu specii caracteristice habitatului.</w:t>
            </w:r>
            <w:r>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Se mențin structurile de habitat favorabile biodiversității, inclusiv tufărișurile dispersate, arborii izolați, gardurile vii și zonele de ecoton.</w:t>
            </w:r>
            <w:r>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Activitățile turistice și recreative se desfășoară fără afectarea habitatelor și a speciilor de interes conservativ.</w:t>
            </w:r>
            <w:r>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05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w:t>
            </w:r>
            <w:r>
              <w:rPr>
                <w:rFonts w:ascii="Arial" w:cs="Arial" w:eastAsia="Arial" w:hAnsi="Arial"/>
                <w:b w:val="0"/>
                <w:bCs w:val="0"/>
                <w:i w:val="0"/>
                <w:iCs w:val="0"/>
                <w:smallCaps w:val="0"/>
                <w:strike w:val="0"/>
                <w:color w:val="000000"/>
                <w:sz w:val="22"/>
                <w:szCs w:val="22"/>
                <w:u w:val="none"/>
                <w:shd w:fill="auto" w:val="clear"/>
                <w:vertAlign w:val="baseline"/>
                <w:rtl w:val="0"/>
              </w:rPr>
              <w:t xml:space="preserve">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052"/>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 </w:t>
      </w:r>
      <w:r>
        <w:rPr>
          <w:rtl w:val="0"/>
        </w:rPr>
      </w:r>
    </w:p>
    <w:p w:rsidR="00000000" w:rsidDel="00000000" w:rsidP="00000000" w:rsidRDefault="00000000" w:rsidRPr="00000000" w14:paraId="000000A1">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Mohan G., Ardelean A., Georgescu M. 1993. Rezervaţii si monumente ale naturi din România </w:t>
      </w:r>
    </w:p>
    <w:p w:rsidR="00000000" w:rsidDel="00000000" w:rsidP="00000000" w:rsidRDefault="00000000" w:rsidRPr="00000000" w14:paraId="000000A2">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Formularul standard al sitului Natura 2000, ROSCI0203 - Poiana cu Narcise de la Negraşi                                                                                                                                 </w:t>
      </w:r>
    </w:p>
    <w:p w:rsidR="00000000" w:rsidDel="00000000" w:rsidP="00000000" w:rsidRDefault="00000000" w:rsidRPr="00000000" w14:paraId="000000A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Alexiu Valeriu 2008. The main sozological categories of the Arges County</w:t>
      </w:r>
    </w:p>
    <w:p w:rsidR="00000000" w:rsidDel="00000000" w:rsidP="00000000" w:rsidRDefault="00000000" w:rsidRPr="00000000" w14:paraId="000000A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Alexiu V., Stancu I., Chirițoiu M. 2011. Arii protejate din judeţul Argeş</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w:t>
      </w:r>
      <w:r>
        <w:rPr>
          <w:rFonts w:ascii="Arial" w:cs="Arial" w:eastAsia="Arial" w:hAnsi="Arial"/>
          <w:b w:val="0"/>
          <w:bCs w:val="0"/>
          <w:i w:val="0"/>
          <w:iCs w:val="0"/>
          <w:smallCaps w:val="0"/>
          <w:strike w:val="0"/>
          <w:color w:val="000000"/>
          <w:sz w:val="20"/>
          <w:szCs w:val="20"/>
          <w:u w:val="none"/>
          <w:shd w:fill="auto" w:val="clear"/>
          <w:vertAlign w:val="baseline"/>
          <w:rtl w:val="0"/>
        </w:rPr>
        <w:br w:type="textWrapping"/>
      </w:r>
      <w:r>
        <w:rPr>
          <w:rFonts w:ascii="Arial" w:cs="Arial" w:eastAsia="Arial" w:hAnsi="Arial"/>
          <w:b w:val="1"/>
          <w:bCs w:val="1"/>
          <w:i w:val="0"/>
          <w:iCs w:val="0"/>
          <w:smallCaps w:val="0"/>
          <w:strike w:val="0"/>
          <w:color w:val="000000"/>
          <w:sz w:val="22"/>
          <w:szCs w:val="22"/>
          <w:u w:val="none"/>
          <w:shd w:fill="auto" w:val="clear"/>
          <w:vertAlign w:val="baseline"/>
          <w:rtl w:val="0"/>
        </w:rPr>
        <w:t xml:space="preserve"> Zonelor Prioritare pentru Biodiversitate</w:t>
      </w:r>
      <w:r>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Detalii privind consultările publice realizate:</w:t>
      </w:r>
      <w:r>
        <w:rPr>
          <w:rtl w:val="0"/>
        </w:rPr>
      </w:r>
    </w:p>
    <w:p w:rsidR="00000000" w:rsidDel="00000000" w:rsidP="00000000" w:rsidRDefault="00000000" w:rsidRPr="00000000" w14:paraId="000000A8">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c2o6m6o9wrve" w:id="1"/>
      <w:bookmarkEnd w:id="1"/>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 4 noiembrie 2024 – Pitești, 14-15 noiembrie 2024 – DS Argeș, 24 iunie 2025 – DS Argeș, 8 și 29 ianuarie 2026 - consultare Prefectura Argeș.</w:t>
      </w:r>
    </w:p>
    <w:p w:rsidR="00000000" w:rsidDel="00000000" w:rsidP="00000000" w:rsidRDefault="00000000" w:rsidRPr="00000000" w14:paraId="000000A9">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16 decembrie 2025 cu participarea factorilor interesați relevanți din județul Argeș. </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r>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4"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Pr>
            <w:rFonts w:ascii="Aptos" w:cs="Aptos" w:eastAsia="Aptos" w:hAnsi="Aptos"/>
            <w:b w:val="0"/>
            <w:bCs w:val="0"/>
            <w:i w:val="0"/>
            <w:iCs w:val="0"/>
            <w:smallCaps w:val="0"/>
            <w:strike w:val="0"/>
            <w:color w:val="467886"/>
            <w:sz w:val="24"/>
            <w:szCs w:val="24"/>
            <w:u w:val="single"/>
            <w:shd w:fill="auto" w:val="clear"/>
            <w:vertAlign w:val="baseline"/>
            <w:rtl w:val="0"/>
          </w:rPr>
          <w:t xml:space="preserve">https://mmediu.ro/domenii/mediu/arii-naturale-protejate/zpb-pnrr-i-3/</w:t>
        </w:r>
      </w:hyperlink>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ptos"/>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Calibri" w:cs="Calibri" w:eastAsia="Calibri" w:hAnsi="Calibri"/>
      <w:b w:val="0"/>
      <w:bCs w:val="0"/>
      <w:i w:val="0"/>
      <w:iCs w:val="0"/>
      <w:smallCaps w:val="0"/>
      <w:strike w:val="0"/>
      <w:color w:val="2f5496"/>
      <w:sz w:val="40"/>
      <w:szCs w:val="40"/>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160" w:line="240" w:lineRule="auto"/>
      <w:ind w:left="0" w:right="0" w:firstLine="0"/>
      <w:jc w:val="left"/>
    </w:pPr>
    <w:rPr>
      <w:rFonts w:ascii="Calibri" w:cs="Calibri" w:eastAsia="Calibri" w:hAnsi="Calibri"/>
      <w:b w:val="0"/>
      <w:bCs w:val="0"/>
      <w:i w:val="0"/>
      <w:iCs w:val="0"/>
      <w:smallCaps w:val="0"/>
      <w:strike w:val="0"/>
      <w:color w:val="2f5496"/>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1"/>
      <w:iCs w:val="1"/>
      <w:smallCaps w:val="0"/>
      <w:strike w:val="0"/>
      <w:color w:val="2f5496"/>
      <w:sz w:val="22"/>
      <w:szCs w:val="22"/>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80" w:line="240" w:lineRule="auto"/>
      <w:ind w:left="0" w:right="0" w:firstLine="0"/>
      <w:jc w:val="left"/>
    </w:pPr>
    <w:rPr>
      <w:rFonts w:ascii="Calibri" w:cs="Calibri" w:eastAsia="Calibri" w:hAnsi="Calibri"/>
      <w:b w:val="0"/>
      <w:bCs w:val="0"/>
      <w:i w:val="0"/>
      <w:iCs w:val="0"/>
      <w:smallCaps w:val="0"/>
      <w:strike w:val="0"/>
      <w:color w:val="2f5496"/>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40" w:line="240" w:lineRule="auto"/>
      <w:ind w:left="0" w:right="0" w:firstLine="0"/>
      <w:jc w:val="left"/>
    </w:pPr>
    <w:rPr>
      <w:rFonts w:ascii="Calibri" w:cs="Calibri" w:eastAsia="Calibri" w:hAnsi="Calibri"/>
      <w:b w:val="0"/>
      <w:bCs w:val="0"/>
      <w:i w:val="1"/>
      <w:iCs w:val="1"/>
      <w:smallCaps w:val="0"/>
      <w:strike w:val="0"/>
      <w:color w:val="595959"/>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40" w:lineRule="auto"/>
      <w:ind w:left="0" w:right="0" w:firstLine="0"/>
      <w:jc w:val="left"/>
    </w:pPr>
    <w:rPr>
      <w:rFonts w:ascii="Calibri" w:cs="Calibri" w:eastAsia="Calibri" w:hAnsi="Calibri"/>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pPr>
    <w:rPr>
      <w:rFonts w:ascii="Calibri" w:cs="Calibri" w:eastAsia="Calibri" w:hAnsi="Calibri"/>
      <w:b w:val="0"/>
      <w:bCs w:val="0"/>
      <w:i w:val="0"/>
      <w:iCs w:val="0"/>
      <w:smallCaps w:val="0"/>
      <w:strike w:val="0"/>
      <w:color w:val="595959"/>
      <w:sz w:val="28"/>
      <w:szCs w:val="2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8y7yAcsbKy3EpXf3tzwY3WO/5MQ==">CgMxLjAyDmguYnJ0N29peWExcnM0Mg5oLmMybzZtNm85d3J2ZTgAciExWG5ZXzNvMXRKMS15QXRtaHBPVU9CUnBVWi1ZUlpjalE=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